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850B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Regionalna geografija Azije s Rusijom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5D59F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E30F16" w:rsidP="00E30F1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Primijenjena geografija</w:t>
            </w:r>
            <w:r w:rsidR="00221FB7">
              <w:rPr>
                <w:rFonts w:ascii="Times New Roman" w:hAnsi="Times New Roman" w:cs="Times New Roman"/>
                <w:sz w:val="20"/>
              </w:rPr>
              <w:t xml:space="preserve"> / Geografija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E30F16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508B6">
              <w:rPr>
                <w:rFonts w:ascii="Times New Roman" w:hAnsi="Times New Roman" w:cs="Times New Roman"/>
                <w:b/>
                <w:sz w:val="20"/>
              </w:rPr>
              <w:t xml:space="preserve"> (J) / 2 (D)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8850B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4B553E" w:rsidRPr="00650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124CB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6508B6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jednopredmetni</w:t>
            </w:r>
          </w:p>
          <w:p w:rsidR="009A284F" w:rsidRPr="006508B6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B7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6508B6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124CB4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124C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124C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124C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124C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6508B6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zimski</w:t>
            </w:r>
          </w:p>
          <w:p w:rsidR="009A284F" w:rsidRPr="004923F4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C0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6508B6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24CB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4CB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B7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obvezni kolegij</w:t>
            </w:r>
            <w:r w:rsidR="00221FB7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(D)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6508B6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izborni kolegij</w:t>
            </w:r>
            <w:r w:rsidR="00221FB7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(J)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124CB4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NE</w:t>
            </w:r>
          </w:p>
        </w:tc>
      </w:tr>
      <w:tr w:rsidR="009A284F" w:rsidRPr="009947BA" w:rsidTr="00E30F1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9A284F" w:rsidRPr="006508B6" w:rsidRDefault="00E30F16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:rsidR="009A284F" w:rsidRPr="006508B6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9A284F" w:rsidRPr="006508B6" w:rsidRDefault="00E30F16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="00221FB7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(J)</w:t>
            </w:r>
          </w:p>
        </w:tc>
        <w:tc>
          <w:tcPr>
            <w:tcW w:w="253" w:type="dxa"/>
            <w:gridSpan w:val="3"/>
          </w:tcPr>
          <w:p w:rsidR="009A284F" w:rsidRPr="006508B6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4CB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DA</w:t>
            </w:r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6508B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Prema rasporedu predavanja  Odjela za geografiju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E30F1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5D59F3" w:rsidRDefault="00124CB4" w:rsidP="00E30F1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hyperlink r:id="rId8" w:history="1">
              <w:r w:rsidR="00034C1B" w:rsidRPr="00034C1B">
                <w:rPr>
                  <w:rStyle w:val="Hiperveza"/>
                  <w:rFonts w:ascii="Times New Roman" w:hAnsi="Times New Roman" w:cs="Times New Roman"/>
                  <w:sz w:val="18"/>
                  <w:szCs w:val="20"/>
                </w:rPr>
                <w:t>Kalendar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124CB4" w:rsidP="00E30F1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9" w:history="1">
              <w:r w:rsidR="00034C1B" w:rsidRPr="00034C1B">
                <w:rPr>
                  <w:rStyle w:val="Hiperveza"/>
                  <w:rFonts w:ascii="Times New Roman" w:hAnsi="Times New Roman" w:cs="Times New Roman"/>
                  <w:sz w:val="18"/>
                  <w:szCs w:val="20"/>
                </w:rPr>
                <w:t>Kalendar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Denis Radoš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C97256" w:rsidRPr="00920C6A">
                <w:rPr>
                  <w:rStyle w:val="Hiperveza"/>
                  <w:rFonts w:ascii="Times New Roman" w:hAnsi="Times New Roman" w:cs="Times New Roman"/>
                  <w:sz w:val="18"/>
                </w:rPr>
                <w:t>drados@unizd.hr</w:t>
              </w:r>
            </w:hyperlink>
            <w:r w:rsidR="00C9725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6508B6" w:rsidRDefault="00124CB4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5D3518" w:rsidRPr="006508B6">
              <w:rPr>
                <w:rFonts w:ascii="Times New Roman" w:hAnsi="Times New Roman" w:cs="Times New Roman"/>
                <w:b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ind w:left="565" w:right="520" w:hanging="425"/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Usvojiti činjenična i teorijska znanja o geografskim obilježjima naglašavajući širinu, heterogenost i kompleksnost geografskih regija</w:t>
            </w:r>
            <w:r w:rsidRPr="001F024F">
              <w:rPr>
                <w:rFonts w:ascii="Times New Roman" w:hAnsi="Times New Roman" w:cs="Times New Roman"/>
                <w:spacing w:val="-4"/>
                <w:sz w:val="18"/>
                <w:szCs w:val="18"/>
                <w:lang w:val="hr-HR"/>
              </w:rPr>
              <w:t xml:space="preserve"> </w:t>
            </w:r>
            <w:r w:rsidRPr="001F024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Azije.</w:t>
            </w:r>
          </w:p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ind w:left="565" w:right="248" w:hanging="42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Upoznati se sa specifičnim povijesnim, gospodarskim, socijalnim, kulturnim i političkim okruženjima azijskih</w:t>
            </w:r>
            <w:r w:rsidRPr="001F024F">
              <w:rPr>
                <w:rFonts w:ascii="Times New Roman" w:hAnsi="Times New Roman" w:cs="Times New Roman"/>
                <w:spacing w:val="-7"/>
                <w:sz w:val="18"/>
                <w:szCs w:val="18"/>
                <w:lang w:val="pl-PL"/>
              </w:rPr>
              <w:t xml:space="preserve"> </w:t>
            </w: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zemalja.</w:t>
            </w:r>
          </w:p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line="274" w:lineRule="exact"/>
              <w:ind w:left="565" w:hanging="42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Analizirati promjene političkih granica u Aziji tijekom</w:t>
            </w:r>
            <w:r w:rsidRPr="001F024F">
              <w:rPr>
                <w:rFonts w:ascii="Times New Roman" w:hAnsi="Times New Roman" w:cs="Times New Roman"/>
                <w:spacing w:val="-22"/>
                <w:sz w:val="18"/>
                <w:szCs w:val="18"/>
                <w:lang w:val="pl-PL"/>
              </w:rPr>
              <w:t xml:space="preserve"> </w:t>
            </w: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vremena.</w:t>
            </w:r>
          </w:p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ind w:left="565" w:right="1030" w:hanging="42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Usporediti razvijene/nerazvijene azijske zemlje s</w:t>
            </w:r>
            <w:r w:rsidRPr="001F024F">
              <w:rPr>
                <w:rFonts w:ascii="Times New Roman" w:hAnsi="Times New Roman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ostalim razvijenim/nerazvijenim zemljama u</w:t>
            </w:r>
            <w:r w:rsidRPr="001F024F">
              <w:rPr>
                <w:rFonts w:ascii="Times New Roman" w:hAnsi="Times New Roman" w:cs="Times New Roman"/>
                <w:spacing w:val="-15"/>
                <w:sz w:val="18"/>
                <w:szCs w:val="18"/>
                <w:lang w:val="pl-PL"/>
              </w:rPr>
              <w:t xml:space="preserve"> </w:t>
            </w: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svijetu.</w:t>
            </w:r>
          </w:p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ind w:left="565" w:right="906" w:hanging="42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Objasniti utjecaj azijskog gospodarstva na oblikovanje globalizacije i  transformaciju azijskih</w:t>
            </w:r>
            <w:r w:rsidRPr="001F024F">
              <w:rPr>
                <w:sz w:val="18"/>
                <w:szCs w:val="18"/>
                <w:lang w:val="pl-PL"/>
              </w:rPr>
              <w:t xml:space="preserve"> regija u 21.</w:t>
            </w:r>
            <w:r w:rsidRPr="001F024F">
              <w:rPr>
                <w:spacing w:val="-24"/>
                <w:sz w:val="18"/>
                <w:szCs w:val="18"/>
                <w:lang w:val="pl-PL"/>
              </w:rPr>
              <w:t xml:space="preserve"> </w:t>
            </w: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stoljeću.</w:t>
            </w:r>
          </w:p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ind w:left="565" w:right="805" w:hanging="42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Razumijeti aktualna pitanja, probleme i procese o azijskom kontinentu.</w:t>
            </w:r>
          </w:p>
          <w:p w:rsidR="00E30F16" w:rsidRPr="001F024F" w:rsidRDefault="00E30F16" w:rsidP="00E30F16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ind w:left="565" w:right="533" w:hanging="42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F024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Steći vještinu upravljanja geografskim informacijama te kritički razmatrati geografske pojave.</w:t>
            </w:r>
          </w:p>
          <w:p w:rsidR="00785CAA" w:rsidRPr="00E30F16" w:rsidRDefault="00E30F16" w:rsidP="00731F76">
            <w:pPr>
              <w:pStyle w:val="Odlomakpopisa"/>
              <w:numPr>
                <w:ilvl w:val="0"/>
                <w:numId w:val="1"/>
              </w:numPr>
              <w:tabs>
                <w:tab w:val="left" w:pos="565"/>
                <w:tab w:val="left" w:pos="1218"/>
              </w:tabs>
              <w:spacing w:before="20" w:after="20"/>
              <w:ind w:hanging="636"/>
              <w:rPr>
                <w:rFonts w:ascii="Times New Roman" w:hAnsi="Times New Roman" w:cs="Times New Roman"/>
                <w:sz w:val="18"/>
                <w:szCs w:val="18"/>
              </w:rPr>
            </w:pPr>
            <w:r w:rsidRPr="00E30F16">
              <w:rPr>
                <w:rFonts w:ascii="Times New Roman" w:hAnsi="Times New Roman" w:cs="Times New Roman"/>
                <w:sz w:val="18"/>
                <w:szCs w:val="18"/>
              </w:rPr>
              <w:t>Na karti primijeniti sve zadane obrazovne</w:t>
            </w:r>
            <w:r w:rsidRPr="00E30F16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E30F16">
              <w:rPr>
                <w:rFonts w:ascii="Times New Roman" w:hAnsi="Times New Roman" w:cs="Times New Roman"/>
                <w:sz w:val="18"/>
                <w:szCs w:val="18"/>
              </w:rPr>
              <w:t>ishode.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A215F">
              <w:rPr>
                <w:rFonts w:ascii="Times New Roman" w:hAnsi="Times New Roman" w:cs="Times New Roman"/>
                <w:b/>
                <w:sz w:val="18"/>
              </w:rPr>
              <w:t>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6508B6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E30F16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Dolasci: 70% (3 izostanka dozvoljena)</w:t>
            </w:r>
            <w:r w:rsidR="006508B6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proofErr w:type="spellStart"/>
            <w:r w:rsidR="006508B6">
              <w:rPr>
                <w:rFonts w:ascii="Times New Roman" w:eastAsia="MS Gothic" w:hAnsi="Times New Roman" w:cs="Times New Roman"/>
                <w:sz w:val="18"/>
              </w:rPr>
              <w:t>dvopredmetni</w:t>
            </w:r>
            <w:proofErr w:type="spellEnd"/>
            <w:r w:rsidR="006508B6">
              <w:rPr>
                <w:rFonts w:ascii="Times New Roman" w:eastAsia="MS Gothic" w:hAnsi="Times New Roman" w:cs="Times New Roman"/>
                <w:sz w:val="18"/>
              </w:rPr>
              <w:t xml:space="preserve"> i kolizija: 50%</w:t>
            </w:r>
          </w:p>
          <w:p w:rsidR="00E30F16" w:rsidRPr="00E30F16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Ispunjene obveze vezane za seminar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5D59F3">
              <w:rPr>
                <w:rFonts w:ascii="Times New Roman" w:hAnsi="Times New Roman" w:cs="Times New Roman"/>
                <w:b/>
                <w:sz w:val="18"/>
              </w:rPr>
              <w:t>zimski ispitni rok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71" w:type="dxa"/>
            <w:gridSpan w:val="10"/>
          </w:tcPr>
          <w:p w:rsidR="009A284F" w:rsidRPr="009947BA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5D59F3">
              <w:rPr>
                <w:rFonts w:ascii="Times New Roman" w:hAnsi="Times New Roman" w:cs="Times New Roman"/>
                <w:b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5D59F3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1" w:anchor="gid=1902821251" w:history="1">
              <w:r w:rsidR="00034C1B" w:rsidRPr="00C97256">
                <w:rPr>
                  <w:rStyle w:val="Hiperveza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5D59F3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2" w:anchor="gid=1902821251" w:history="1">
              <w:r w:rsidR="00034C1B" w:rsidRPr="00C97256">
                <w:rPr>
                  <w:rStyle w:val="Hiperveza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15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Sadržaj kolegija obuhvaća historijsko-geografske spoznaje, otkrića i naseljavanje azijskog kontinenta te upoznavanje s prirodno-geografskim i društveno-geografskim značajkama Azije. Kroz regionalizaciju Azije posebna pozornost posvećena je problemima i perspektivama razvoja pojedine regije.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bookmarkStart w:id="0" w:name="_GoBack"/>
            <w:bookmarkEnd w:id="0"/>
            <w:r w:rsidRPr="009A215F">
              <w:rPr>
                <w:rFonts w:ascii="Times New Roman" w:eastAsia="MS Gothic" w:hAnsi="Times New Roman" w:cs="Times New Roman"/>
                <w:sz w:val="18"/>
              </w:rPr>
              <w:t>Prostorni obuhvat, granice, regije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Prirodno-geografska obilježja Azije - 1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Prirodno-geografska obilježja Azije - 2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Historijsko-geografski pregled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Političko-geografska obilježja Azije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Stanovništvo Azije - 1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Stanovništvo Azije - 2</w:t>
            </w:r>
          </w:p>
          <w:p w:rsidR="00857D4C" w:rsidRDefault="00857D4C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9A215F" w:rsidRPr="00857D4C" w:rsidRDefault="00857D4C" w:rsidP="00857D4C">
            <w:pPr>
              <w:tabs>
                <w:tab w:val="left" w:pos="208"/>
              </w:tabs>
              <w:spacing w:before="20" w:after="20"/>
              <w:ind w:left="-76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</w:t>
            </w:r>
            <w:r w:rsidR="009A215F" w:rsidRPr="00857D4C">
              <w:rPr>
                <w:rFonts w:ascii="Times New Roman" w:eastAsia="MS Gothic" w:hAnsi="Times New Roman" w:cs="Times New Roman"/>
                <w:sz w:val="18"/>
              </w:rPr>
              <w:t>Regionalne studije – Bliski istok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Regionalne studije - Kavkaz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Regionalne studije – Srednja Azija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Regionalne studije – Južna Azija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Regionalne studije – Jugoistočna Azija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>Regionalne studije – Istočna Azija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Regionalne studije – </w:t>
            </w:r>
            <w:r>
              <w:rPr>
                <w:rFonts w:ascii="Times New Roman" w:eastAsia="MS Gothic" w:hAnsi="Times New Roman" w:cs="Times New Roman"/>
                <w:sz w:val="18"/>
              </w:rPr>
              <w:t>Rusija</w:t>
            </w:r>
          </w:p>
          <w:p w:rsidR="00857D4C" w:rsidRDefault="00857D4C" w:rsidP="006D5459">
            <w:pPr>
              <w:pStyle w:val="Odlomakpopisa"/>
              <w:numPr>
                <w:ilvl w:val="0"/>
                <w:numId w:val="2"/>
              </w:numPr>
              <w:tabs>
                <w:tab w:val="left" w:pos="208"/>
              </w:tabs>
              <w:spacing w:before="20" w:after="20"/>
              <w:ind w:left="491" w:hanging="567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731F76" w:rsidRPr="00857D4C" w:rsidRDefault="00857D4C" w:rsidP="00857D4C">
            <w:pPr>
              <w:tabs>
                <w:tab w:val="left" w:pos="208"/>
              </w:tabs>
              <w:spacing w:before="20" w:after="20"/>
              <w:ind w:left="-76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</w:t>
            </w:r>
            <w:r w:rsidR="009A215F" w:rsidRPr="00857D4C">
              <w:rPr>
                <w:rFonts w:ascii="Times New Roman" w:eastAsia="MS Gothic" w:hAnsi="Times New Roman" w:cs="Times New Roman"/>
                <w:sz w:val="18"/>
              </w:rPr>
              <w:t>Regionalne studije - odabrane zemlje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9A215F" w:rsidRDefault="009A215F" w:rsidP="009A215F">
            <w:pPr>
              <w:pStyle w:val="Odlomakpopisa"/>
              <w:numPr>
                <w:ilvl w:val="0"/>
                <w:numId w:val="4"/>
              </w:numPr>
              <w:tabs>
                <w:tab w:val="left" w:pos="286"/>
              </w:tabs>
              <w:spacing w:before="20" w:after="20"/>
              <w:ind w:left="775" w:hanging="796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hAnsi="Times New Roman" w:cs="Times New Roman"/>
                <w:sz w:val="18"/>
              </w:rPr>
              <w:t xml:space="preserve">De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Blij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, H. J., Muller, P. O.,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Nijman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, J. (2014.):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Realms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, Regions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and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Concepts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Wiley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 xml:space="preserve"> &amp; </w:t>
            </w:r>
            <w:proofErr w:type="spellStart"/>
            <w:r w:rsidRPr="009A215F">
              <w:rPr>
                <w:rFonts w:ascii="Times New Roman" w:hAnsi="Times New Roman" w:cs="Times New Roman"/>
                <w:sz w:val="18"/>
              </w:rPr>
              <w:t>Sons</w:t>
            </w:r>
            <w:proofErr w:type="spellEnd"/>
            <w:r w:rsidRPr="009A215F">
              <w:rPr>
                <w:rFonts w:ascii="Times New Roman" w:hAnsi="Times New Roman" w:cs="Times New Roman"/>
                <w:sz w:val="18"/>
              </w:rPr>
              <w:t>, New</w:t>
            </w:r>
            <w:r w:rsidRPr="009A215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9A215F">
              <w:rPr>
                <w:rFonts w:ascii="Times New Roman" w:hAnsi="Times New Roman" w:cs="Times New Roman"/>
                <w:sz w:val="18"/>
              </w:rPr>
              <w:t>York.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Bradshaw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M. (2000.): World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Regional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New Global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Order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Second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Edition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McGraw-Hill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Companies, Boston.</w:t>
            </w:r>
          </w:p>
          <w:p w:rsid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Beal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J.,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Khasnobis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B.,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Kanbur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R. (2012.):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Urbanization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Development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Multidimensional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Perspectives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Oxford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University Press.</w:t>
            </w:r>
          </w:p>
          <w:p w:rsidR="001F024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Misra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R. P. (2013.):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Urbanisation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South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Focus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on Mega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Cities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Cambridge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University Press.</w:t>
            </w:r>
            <w:r w:rsidRPr="009A215F">
              <w:rPr>
                <w:rFonts w:ascii="Times New Roman" w:eastAsia="MS Gothic" w:hAnsi="Times New Roman" w:cs="Times New Roman"/>
                <w:sz w:val="18"/>
              </w:rPr>
              <w:tab/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Stiperski Z.,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Yamamoto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Y., Njavro, Đ. (2005.): Samuraj i vitez: Kako se Japan uspio ekonomski razviti, Meridijani, Samobor.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Williams, G. (2002.):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South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Globalising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World: A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Reconstructed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Regional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Pearson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Education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Canada.</w:t>
            </w:r>
            <w:r w:rsidRPr="009A215F">
              <w:rPr>
                <w:rFonts w:ascii="Times New Roman" w:eastAsia="MS Gothic" w:hAnsi="Times New Roman" w:cs="Times New Roman"/>
                <w:sz w:val="18"/>
              </w:rPr>
              <w:tab/>
              <w:t xml:space="preserve">Mason, C. (2005.): A Short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History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New York.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Baker, K.,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Chapman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G. (1992.):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Changing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New York.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Bradnock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B., Williams, G. (2002.):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South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Globalising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World,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London.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Cole, J. (1996.):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World's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Major Regions,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London, New York.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Chibilev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A.A., Bogdanov, S. V. (2011):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Europe-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border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geographical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cultural-historical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aspects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Herald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Russian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Academy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Sciences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552-562.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Ghosh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D. i dr. (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.) (2009): Water,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Sovereignty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Borders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Oceania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str. 216.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Worldmark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Encyclopedia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Nations, vol. 4.,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Asia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&amp;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Oceanica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Thomson Gale.</w:t>
            </w:r>
          </w:p>
          <w:p w:rsidR="009A215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Hobbs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J. J. (2017): Fundamentals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World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Regional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Cengage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Learning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9A215F" w:rsidRDefault="009A215F" w:rsidP="009A215F">
            <w:pPr>
              <w:pStyle w:val="Odlomakpopisa"/>
              <w:numPr>
                <w:ilvl w:val="0"/>
                <w:numId w:val="3"/>
              </w:numPr>
              <w:tabs>
                <w:tab w:val="left" w:pos="208"/>
              </w:tabs>
              <w:spacing w:before="20" w:after="20"/>
              <w:ind w:left="208" w:hanging="284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Hobbs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, J. J. (2009): World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Regional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A215F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9A215F">
              <w:rPr>
                <w:rFonts w:ascii="Times New Roman" w:eastAsia="MS Gothic" w:hAnsi="Times New Roman" w:cs="Times New Roman"/>
                <w:sz w:val="18"/>
              </w:rPr>
              <w:t>, Brooks/Cole.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A215F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3" w:history="1">
              <w:r w:rsidR="009A215F" w:rsidRPr="009A215F">
                <w:rPr>
                  <w:rStyle w:val="Hiperveza"/>
                  <w:rFonts w:ascii="Times New Roman" w:hAnsi="Times New Roman" w:cs="Times New Roman"/>
                  <w:sz w:val="20"/>
                </w:rPr>
                <w:t>https://www.britannica.com/</w:t>
              </w:r>
            </w:hyperlink>
            <w:r w:rsidR="009A215F" w:rsidRPr="009A215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9A215F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A215F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215F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6508B6" w:rsidRDefault="00124CB4" w:rsidP="006508B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B6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6508B6" w:rsidRPr="006508B6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samo kolokviji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6508B6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5F" w:rsidRPr="006508B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9A284F" w:rsidRPr="006508B6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6508B6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124C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124CB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124CB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15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Pismeni ispit: 100%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9A284F" w:rsidP="009A215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B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B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6508B6">
              <w:rPr>
                <w:rFonts w:ascii="Times New Roman" w:hAnsi="Times New Roman" w:cs="Times New Roman"/>
                <w:b/>
                <w:sz w:val="18"/>
              </w:rPr>
              <w:t>studentska evaluacija nastave na razini sastavnice</w:t>
            </w:r>
          </w:p>
          <w:p w:rsidR="009A284F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C0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interna evaluacija nastave</w:t>
            </w:r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tematske sjednice stručnih vijeća sastavnica o kvaliteti nastave i rezultatima studentske ankete</w:t>
            </w:r>
          </w:p>
          <w:p w:rsidR="009A284F" w:rsidRPr="009947BA" w:rsidRDefault="00124C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4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75C0E" w:rsidRDefault="009A284F" w:rsidP="00975C0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975C0E">
              <w:rPr>
                <w:rFonts w:ascii="Times New Roman" w:eastAsia="MS Gothic" w:hAnsi="Times New Roman" w:cs="Times New Roman"/>
                <w:b/>
                <w:sz w:val="18"/>
              </w:rPr>
              <w:t>U kolegiju se koristi Merlin, sustav za e-učenje, pa su studentima</w:t>
            </w:r>
            <w:r w:rsidR="00B4202A" w:rsidRPr="00975C0E">
              <w:rPr>
                <w:rFonts w:ascii="Times New Roman" w:eastAsia="MS Gothic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5C0E">
              <w:rPr>
                <w:rFonts w:ascii="Times New Roman" w:eastAsia="MS Gothic" w:hAnsi="Times New Roman" w:cs="Times New Roman"/>
                <w:b/>
                <w:sz w:val="18"/>
              </w:rPr>
              <w:t xml:space="preserve">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B4" w:rsidRDefault="00124CB4" w:rsidP="009947BA">
      <w:pPr>
        <w:spacing w:before="0" w:after="0"/>
      </w:pPr>
      <w:r>
        <w:separator/>
      </w:r>
    </w:p>
  </w:endnote>
  <w:endnote w:type="continuationSeparator" w:id="0">
    <w:p w:rsidR="00124CB4" w:rsidRDefault="00124CB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B4" w:rsidRDefault="00124CB4" w:rsidP="009947BA">
      <w:pPr>
        <w:spacing w:before="0" w:after="0"/>
      </w:pPr>
      <w:r>
        <w:separator/>
      </w:r>
    </w:p>
  </w:footnote>
  <w:footnote w:type="continuationSeparator" w:id="0">
    <w:p w:rsidR="00124CB4" w:rsidRDefault="00124CB4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5B7"/>
    <w:multiLevelType w:val="hybridMultilevel"/>
    <w:tmpl w:val="B10A4946"/>
    <w:lvl w:ilvl="0" w:tplc="623C3144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Arial Narrow" w:hAnsi="Times New Roman" w:cs="Times New Roman" w:hint="default"/>
        <w:spacing w:val="-25"/>
        <w:w w:val="99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2B67"/>
    <w:multiLevelType w:val="hybridMultilevel"/>
    <w:tmpl w:val="EE3E5A1C"/>
    <w:lvl w:ilvl="0" w:tplc="623C3144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Arial Narrow" w:hAnsi="Times New Roman" w:cs="Times New Roman" w:hint="default"/>
        <w:spacing w:val="-25"/>
        <w:w w:val="99"/>
        <w:sz w:val="18"/>
        <w:szCs w:val="18"/>
      </w:rPr>
    </w:lvl>
    <w:lvl w:ilvl="1" w:tplc="28E2EC74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DB945440">
      <w:numFmt w:val="bullet"/>
      <w:lvlText w:val="•"/>
      <w:lvlJc w:val="left"/>
      <w:pPr>
        <w:ind w:left="1965" w:hanging="360"/>
      </w:pPr>
      <w:rPr>
        <w:rFonts w:hint="default"/>
      </w:rPr>
    </w:lvl>
    <w:lvl w:ilvl="3" w:tplc="B1AA7C94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B666032C">
      <w:numFmt w:val="bullet"/>
      <w:lvlText w:val="•"/>
      <w:lvlJc w:val="left"/>
      <w:pPr>
        <w:ind w:left="3150" w:hanging="360"/>
      </w:pPr>
      <w:rPr>
        <w:rFonts w:hint="default"/>
      </w:rPr>
    </w:lvl>
    <w:lvl w:ilvl="5" w:tplc="E78EBFCA">
      <w:numFmt w:val="bullet"/>
      <w:lvlText w:val="•"/>
      <w:lvlJc w:val="left"/>
      <w:pPr>
        <w:ind w:left="3742" w:hanging="360"/>
      </w:pPr>
      <w:rPr>
        <w:rFonts w:hint="default"/>
      </w:rPr>
    </w:lvl>
    <w:lvl w:ilvl="6" w:tplc="2A5A047C">
      <w:numFmt w:val="bullet"/>
      <w:lvlText w:val="•"/>
      <w:lvlJc w:val="left"/>
      <w:pPr>
        <w:ind w:left="4335" w:hanging="360"/>
      </w:pPr>
      <w:rPr>
        <w:rFonts w:hint="default"/>
      </w:rPr>
    </w:lvl>
    <w:lvl w:ilvl="7" w:tplc="5B7C2AD6">
      <w:numFmt w:val="bullet"/>
      <w:lvlText w:val="•"/>
      <w:lvlJc w:val="left"/>
      <w:pPr>
        <w:ind w:left="4927" w:hanging="360"/>
      </w:pPr>
      <w:rPr>
        <w:rFonts w:hint="default"/>
      </w:rPr>
    </w:lvl>
    <w:lvl w:ilvl="8" w:tplc="B8D8C7EA">
      <w:numFmt w:val="bullet"/>
      <w:lvlText w:val="•"/>
      <w:lvlJc w:val="left"/>
      <w:pPr>
        <w:ind w:left="5520" w:hanging="360"/>
      </w:pPr>
      <w:rPr>
        <w:rFonts w:hint="default"/>
      </w:rPr>
    </w:lvl>
  </w:abstractNum>
  <w:abstractNum w:abstractNumId="2" w15:restartNumberingAfterBreak="0">
    <w:nsid w:val="4D6B47D9"/>
    <w:multiLevelType w:val="hybridMultilevel"/>
    <w:tmpl w:val="168AFAA4"/>
    <w:lvl w:ilvl="0" w:tplc="623C3144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Arial Narrow" w:hAnsi="Times New Roman" w:cs="Times New Roman" w:hint="default"/>
        <w:spacing w:val="-25"/>
        <w:w w:val="99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51E2"/>
    <w:multiLevelType w:val="hybridMultilevel"/>
    <w:tmpl w:val="BFF253BC"/>
    <w:lvl w:ilvl="0" w:tplc="6DDC22CE">
      <w:start w:val="1"/>
      <w:numFmt w:val="bullet"/>
      <w:lvlText w:val=""/>
      <w:lvlJc w:val="left"/>
      <w:pPr>
        <w:ind w:left="851" w:hanging="360"/>
      </w:pPr>
      <w:rPr>
        <w:rFonts w:ascii="Symbol" w:eastAsia="MS Gothic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776D631B"/>
    <w:multiLevelType w:val="hybridMultilevel"/>
    <w:tmpl w:val="CED41A18"/>
    <w:lvl w:ilvl="0" w:tplc="B134B9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4C1B"/>
    <w:rsid w:val="000A790E"/>
    <w:rsid w:val="000C0578"/>
    <w:rsid w:val="0010332B"/>
    <w:rsid w:val="00124CB4"/>
    <w:rsid w:val="001443A2"/>
    <w:rsid w:val="00150B32"/>
    <w:rsid w:val="00197510"/>
    <w:rsid w:val="001F024F"/>
    <w:rsid w:val="00221FB7"/>
    <w:rsid w:val="0022722C"/>
    <w:rsid w:val="0028545A"/>
    <w:rsid w:val="002E1CE6"/>
    <w:rsid w:val="002F2D22"/>
    <w:rsid w:val="00326091"/>
    <w:rsid w:val="00357643"/>
    <w:rsid w:val="00371634"/>
    <w:rsid w:val="00386E9C"/>
    <w:rsid w:val="0039006C"/>
    <w:rsid w:val="00393964"/>
    <w:rsid w:val="003A3E41"/>
    <w:rsid w:val="003A3FA8"/>
    <w:rsid w:val="003F11B6"/>
    <w:rsid w:val="003F17B8"/>
    <w:rsid w:val="00424B78"/>
    <w:rsid w:val="00445E83"/>
    <w:rsid w:val="00453362"/>
    <w:rsid w:val="00456ED2"/>
    <w:rsid w:val="00461219"/>
    <w:rsid w:val="00470F6D"/>
    <w:rsid w:val="00483BC3"/>
    <w:rsid w:val="004923F4"/>
    <w:rsid w:val="004B553E"/>
    <w:rsid w:val="005353ED"/>
    <w:rsid w:val="005514C3"/>
    <w:rsid w:val="005D3518"/>
    <w:rsid w:val="005D59F3"/>
    <w:rsid w:val="005E1668"/>
    <w:rsid w:val="005F6E0B"/>
    <w:rsid w:val="0062328F"/>
    <w:rsid w:val="0063208C"/>
    <w:rsid w:val="006508B6"/>
    <w:rsid w:val="00684BBC"/>
    <w:rsid w:val="006B4920"/>
    <w:rsid w:val="006D5459"/>
    <w:rsid w:val="00700D7A"/>
    <w:rsid w:val="00731F76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57D4C"/>
    <w:rsid w:val="00865776"/>
    <w:rsid w:val="00874D5D"/>
    <w:rsid w:val="008850B0"/>
    <w:rsid w:val="00891C60"/>
    <w:rsid w:val="008942F0"/>
    <w:rsid w:val="008A3541"/>
    <w:rsid w:val="008A39A5"/>
    <w:rsid w:val="008D45DB"/>
    <w:rsid w:val="0090214F"/>
    <w:rsid w:val="009163E6"/>
    <w:rsid w:val="00975C0E"/>
    <w:rsid w:val="009760E8"/>
    <w:rsid w:val="009947BA"/>
    <w:rsid w:val="00997F41"/>
    <w:rsid w:val="009A215F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77E98"/>
    <w:rsid w:val="00C02454"/>
    <w:rsid w:val="00C3477B"/>
    <w:rsid w:val="00C85956"/>
    <w:rsid w:val="00C97256"/>
    <w:rsid w:val="00C9733D"/>
    <w:rsid w:val="00CA3783"/>
    <w:rsid w:val="00CB23F4"/>
    <w:rsid w:val="00CB6DFD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0F16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75E2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0F16"/>
    <w:pPr>
      <w:widowControl w:val="0"/>
      <w:spacing w:before="0" w:after="0"/>
      <w:ind w:left="103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www.britannic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fOylRYh9bU4lK5wT-0221qq5USFDZdYn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rados@unizd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2587-6504-4D33-AECB-5FDDE4A6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1435</Words>
  <Characters>8442</Characters>
  <Application>Microsoft Office Word</Application>
  <DocSecurity>0</DocSecurity>
  <Lines>383</Lines>
  <Paragraphs>299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7</cp:revision>
  <dcterms:created xsi:type="dcterms:W3CDTF">2020-10-05T21:53:00Z</dcterms:created>
  <dcterms:modified xsi:type="dcterms:W3CDTF">2024-09-11T21:24:00Z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9d23133dfa334a1612f7b1befa97c0cfc855c0233562df3abf7d9808c286c2b1</vt:lpwstr>
  </property>
</Properties>
</file>